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p>
    <w:p w:rsidR="001B0206" w:rsidRPr="00113309" w:rsidRDefault="001B0206" w:rsidP="001B0206">
      <w:pPr>
        <w:spacing w:line="360" w:lineRule="auto"/>
        <w:jc w:val="right"/>
        <w:rPr>
          <w:b/>
          <w:sz w:val="28"/>
          <w:szCs w:val="28"/>
        </w:rPr>
      </w:pPr>
      <w:r w:rsidRPr="00113309">
        <w:rPr>
          <w:b/>
          <w:sz w:val="28"/>
          <w:szCs w:val="28"/>
        </w:rPr>
        <w:t xml:space="preserve">градостроительного проектирования Александро-Ершинского сельсовета </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1B0206" w:rsidRPr="00113309" w:rsidRDefault="001B0206" w:rsidP="001B0206">
      <w:pPr>
        <w:shd w:val="clear" w:color="auto" w:fill="FFFFFF"/>
        <w:snapToGrid w:val="0"/>
        <w:spacing w:line="360" w:lineRule="auto"/>
        <w:jc w:val="center"/>
        <w:rPr>
          <w:b/>
          <w:caps/>
          <w:sz w:val="32"/>
          <w:szCs w:val="32"/>
        </w:rPr>
      </w:pPr>
      <w:bookmarkStart w:id="0" w:name="_GoBack"/>
      <w:bookmarkEnd w:id="0"/>
    </w:p>
    <w:p w:rsidR="001B0206" w:rsidRPr="00113309" w:rsidRDefault="000B0DC6"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Александро-Ершинского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Наименование учреждения, </w:t>
            </w:r>
            <w:r w:rsidRPr="00113309">
              <w:rPr>
                <w:b/>
                <w:sz w:val="20"/>
                <w:szCs w:val="20"/>
              </w:rPr>
              <w:lastRenderedPageBreak/>
              <w:t>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54156974"/>
      <w:bookmarkStart w:id="181" w:name="_Ref364440721"/>
      <w:bookmarkEnd w:id="179"/>
      <w:r w:rsidRPr="00113309">
        <w:t xml:space="preserve">Таблица </w:t>
      </w:r>
      <w:bookmarkEnd w:id="181"/>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54157014"/>
      <w:bookmarkStart w:id="183" w:name="_Ref364440747"/>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3"/>
      <w:bookmarkEnd w:id="184"/>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54392419"/>
      <w:bookmarkStart w:id="186" w:name="_Ref364440787"/>
      <w:r w:rsidRPr="00113309">
        <w:t xml:space="preserve">Таблица </w:t>
      </w:r>
      <w:bookmarkEnd w:id="186"/>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54159819"/>
      <w:bookmarkStart w:id="190" w:name="_Ref364441076"/>
      <w:r w:rsidRPr="00113309">
        <w:t xml:space="preserve">Таблица </w:t>
      </w:r>
      <w:bookmarkEnd w:id="190"/>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w:t>
      </w:r>
      <w:r w:rsidRPr="00113309">
        <w:lastRenderedPageBreak/>
        <w:t>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4"/>
      <w:bookmarkStart w:id="194" w:name="_Toc393700470"/>
      <w:bookmarkStart w:id="195" w:name="_Toc389132861"/>
      <w:bookmarkStart w:id="196"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5"/>
      <w:bookmarkEnd w:id="196"/>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54"/>
      <w:bookmarkStart w:id="201" w:name="_Toc393700483"/>
      <w:bookmarkStart w:id="202" w:name="_Toc389132863"/>
      <w:bookmarkStart w:id="203" w:name="_Toc393700469"/>
      <w:bookmarkEnd w:id="193"/>
      <w:bookmarkEnd w:id="194"/>
      <w:r w:rsidRPr="00113309">
        <w:lastRenderedPageBreak/>
        <w:t>Параметры отводимых территорий под размещаемые автомобильные дороги</w:t>
      </w:r>
      <w:bookmarkEnd w:id="202"/>
      <w:bookmarkEnd w:id="203"/>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0"/>
      <w:bookmarkEnd w:id="201"/>
    </w:p>
    <w:p w:rsidR="00436E04" w:rsidRPr="00113309" w:rsidRDefault="00436E04" w:rsidP="00CF5B5C">
      <w:pPr>
        <w:pStyle w:val="2"/>
      </w:pPr>
      <w:bookmarkStart w:id="243" w:name="_Toc389132877"/>
      <w:bookmarkStart w:id="244" w:name="_Toc393700489"/>
      <w:bookmarkStart w:id="245" w:name="_Toc389132855"/>
      <w:bookmarkStart w:id="246" w:name="_Toc393700484"/>
      <w:r w:rsidRPr="00113309">
        <w:t>Параметры проектирования сети общественного пассажирского транспорта и пешеходного движения</w:t>
      </w:r>
      <w:bookmarkEnd w:id="245"/>
      <w:bookmarkEnd w:id="246"/>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3"/>
      <w:bookmarkEnd w:id="24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lastRenderedPageBreak/>
        <w:t>Нормативные требования к мероприятиям по мусороудалению</w:t>
      </w:r>
      <w:bookmarkEnd w:id="277"/>
      <w:bookmarkEnd w:id="278"/>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lastRenderedPageBreak/>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lastRenderedPageBreak/>
        <w:t>Нормативные требования по защите территорий от затопления и по</w:t>
      </w:r>
      <w:r w:rsidRPr="00113309">
        <w:t>д</w:t>
      </w:r>
      <w:r w:rsidRPr="00113309">
        <w:t>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lastRenderedPageBreak/>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8" w:name="_Toc389132912"/>
      <w:bookmarkStart w:id="319" w:name="_Toc393700518"/>
      <w:r w:rsidRPr="00113309">
        <w:t>Нормативные требования к застройке территорий мест</w:t>
      </w:r>
      <w:r w:rsidRPr="00113309">
        <w:t>о</w:t>
      </w:r>
      <w:r w:rsidRPr="00113309">
        <w:t>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t>Размеры территорий пляжей, размещаемых в курортных зонах</w:t>
      </w:r>
      <w:bookmarkEnd w:id="334"/>
      <w:bookmarkEnd w:id="335"/>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lastRenderedPageBreak/>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AE" w:rsidRDefault="003B5FAE">
      <w:r>
        <w:separator/>
      </w:r>
    </w:p>
    <w:p w:rsidR="003B5FAE" w:rsidRDefault="003B5FAE"/>
  </w:endnote>
  <w:endnote w:type="continuationSeparator" w:id="0">
    <w:p w:rsidR="003B5FAE" w:rsidRDefault="003B5FAE">
      <w:r>
        <w:continuationSeparator/>
      </w:r>
    </w:p>
    <w:p w:rsidR="003B5FAE" w:rsidRDefault="003B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B0DC6" w:rsidRPr="000B0DC6">
      <w:rPr>
        <w:rFonts w:ascii="Times New Roman" w:hAnsi="Times New Roman"/>
        <w:noProof/>
        <w:sz w:val="22"/>
        <w:szCs w:val="22"/>
        <w:lang w:val="de-DE"/>
      </w:rPr>
      <w:t>15</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B0DC6" w:rsidRPr="000B0DC6">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B0DC6" w:rsidRPr="000B0DC6">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B0DC6" w:rsidRPr="000B0DC6">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0B0DC6" w:rsidRPr="000B0DC6">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AE" w:rsidRDefault="003B5FAE">
      <w:r>
        <w:separator/>
      </w:r>
    </w:p>
    <w:p w:rsidR="003B5FAE" w:rsidRDefault="003B5FAE"/>
  </w:footnote>
  <w:footnote w:type="continuationSeparator" w:id="0">
    <w:p w:rsidR="003B5FAE" w:rsidRDefault="003B5FAE">
      <w:r>
        <w:continuationSeparator/>
      </w:r>
    </w:p>
    <w:p w:rsidR="003B5FAE" w:rsidRDefault="003B5FAE"/>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DC6"/>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5FAE"/>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4D0C-9B70-424A-B89E-746295E5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155</Pages>
  <Words>58728</Words>
  <Characters>334752</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392695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1</cp:revision>
  <cp:lastPrinted>2011-12-21T11:36:00Z</cp:lastPrinted>
  <dcterms:created xsi:type="dcterms:W3CDTF">2015-01-31T15:23:00Z</dcterms:created>
  <dcterms:modified xsi:type="dcterms:W3CDTF">2015-01-31T15:27:00Z</dcterms:modified>
</cp:coreProperties>
</file>